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AB" w:rsidRPr="00656059" w:rsidRDefault="003A07AB" w:rsidP="003A07AB">
      <w:pPr>
        <w:suppressAutoHyphens w:val="0"/>
        <w:spacing w:after="0" w:line="240" w:lineRule="auto"/>
        <w:jc w:val="right"/>
        <w:textAlignment w:val="auto"/>
        <w:rPr>
          <w:rFonts w:ascii="Times New Roman" w:hAnsi="Times New Roman"/>
          <w:sz w:val="24"/>
          <w:szCs w:val="24"/>
          <w:lang w:val="ro-MD"/>
        </w:rPr>
      </w:pPr>
      <w:r>
        <w:rPr>
          <w:rStyle w:val="Fontdeparagrafimplicit1"/>
          <w:rFonts w:ascii="Times New Roman" w:eastAsia="Times New Roman" w:hAnsi="Times New Roman"/>
          <w:sz w:val="24"/>
          <w:szCs w:val="24"/>
          <w:lang w:val="ro-MD" w:eastAsia="ro-RO"/>
        </w:rPr>
        <w:t>„</w:t>
      </w:r>
      <w:r w:rsidRPr="00656059">
        <w:rPr>
          <w:rStyle w:val="Fontdeparagrafimplicit1"/>
          <w:rFonts w:ascii="Times New Roman" w:eastAsia="Times New Roman" w:hAnsi="Times New Roman"/>
          <w:sz w:val="24"/>
          <w:szCs w:val="24"/>
          <w:lang w:val="ro-MD" w:eastAsia="ro-RO"/>
        </w:rPr>
        <w:t>Anexa nr.24</w:t>
      </w:r>
    </w:p>
    <w:p w:rsidR="003A07AB" w:rsidRPr="00656059" w:rsidRDefault="003A07AB" w:rsidP="003A07AB">
      <w:pPr>
        <w:suppressAutoHyphens w:val="0"/>
        <w:spacing w:after="0" w:line="240" w:lineRule="auto"/>
        <w:jc w:val="right"/>
        <w:textAlignment w:val="auto"/>
        <w:rPr>
          <w:rFonts w:ascii="Times New Roman" w:hAnsi="Times New Roman"/>
          <w:sz w:val="24"/>
          <w:szCs w:val="24"/>
          <w:lang w:val="ro-MD"/>
        </w:rPr>
      </w:pPr>
      <w:r w:rsidRPr="00656059">
        <w:rPr>
          <w:rStyle w:val="Fontdeparagrafimplicit1"/>
          <w:rFonts w:ascii="Times New Roman" w:eastAsia="Times New Roman" w:hAnsi="Times New Roman"/>
          <w:sz w:val="24"/>
          <w:szCs w:val="24"/>
          <w:lang w:val="ro-MD" w:eastAsia="ro-RO"/>
        </w:rPr>
        <w:t>la Hotărîrea Guvernului</w:t>
      </w:r>
    </w:p>
    <w:p w:rsidR="003A07AB" w:rsidRPr="00656059" w:rsidRDefault="003A07AB" w:rsidP="003A07AB">
      <w:pPr>
        <w:suppressAutoHyphens w:val="0"/>
        <w:spacing w:after="0" w:line="240" w:lineRule="auto"/>
        <w:jc w:val="right"/>
        <w:textAlignment w:val="auto"/>
        <w:rPr>
          <w:rFonts w:ascii="Times New Roman" w:hAnsi="Times New Roman"/>
          <w:sz w:val="24"/>
          <w:szCs w:val="24"/>
          <w:lang w:val="ro-MD"/>
        </w:rPr>
      </w:pPr>
      <w:r w:rsidRPr="00656059">
        <w:rPr>
          <w:rStyle w:val="Fontdeparagrafimplicit1"/>
          <w:rFonts w:ascii="Times New Roman" w:eastAsia="Times New Roman" w:hAnsi="Times New Roman"/>
          <w:sz w:val="24"/>
          <w:szCs w:val="24"/>
          <w:lang w:val="ro-MD" w:eastAsia="ro-RO"/>
        </w:rPr>
        <w:t>nr.182 din 16 martie 2010</w:t>
      </w:r>
    </w:p>
    <w:p w:rsidR="003A07AB" w:rsidRPr="00656059" w:rsidRDefault="003A07AB" w:rsidP="003A07A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 </w:t>
      </w:r>
    </w:p>
    <w:p w:rsidR="003A07AB" w:rsidRPr="00656059" w:rsidRDefault="003A07AB" w:rsidP="003A07A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236"/>
        <w:gridCol w:w="2509"/>
        <w:gridCol w:w="1304"/>
        <w:gridCol w:w="1451"/>
      </w:tblGrid>
      <w:tr w:rsidR="003A07AB" w:rsidRPr="00656059" w:rsidTr="00D85A8B">
        <w:trPr>
          <w:jc w:val="center"/>
        </w:trPr>
        <w:tc>
          <w:tcPr>
            <w:tcW w:w="5000" w:type="pct"/>
            <w:gridSpan w:val="4"/>
            <w:tcBorders>
              <w:top w:val="nil"/>
              <w:left w:val="nil"/>
              <w:bottom w:val="nil"/>
              <w:right w:val="nil"/>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center"/>
              <w:textAlignment w:val="auto"/>
              <w:rPr>
                <w:rFonts w:ascii="Times New Roman" w:eastAsia="Times New Roman" w:hAnsi="Times New Roman"/>
                <w:b/>
                <w:bCs/>
                <w:sz w:val="24"/>
                <w:szCs w:val="24"/>
                <w:lang w:val="ro-MD" w:eastAsia="ro-RO"/>
              </w:rPr>
            </w:pPr>
            <w:r w:rsidRPr="00656059">
              <w:rPr>
                <w:rFonts w:ascii="Times New Roman" w:eastAsia="Times New Roman" w:hAnsi="Times New Roman"/>
                <w:b/>
                <w:bCs/>
                <w:sz w:val="24"/>
                <w:szCs w:val="24"/>
                <w:lang w:val="ro-MD" w:eastAsia="ro-RO"/>
              </w:rPr>
              <w:t>Structura, efectivul de personal şi indemnizaţiile de funcţie ale</w:t>
            </w:r>
          </w:p>
          <w:p w:rsidR="003A07AB" w:rsidRPr="00656059" w:rsidRDefault="003A07AB" w:rsidP="00D85A8B">
            <w:pPr>
              <w:suppressAutoHyphens w:val="0"/>
              <w:spacing w:after="0" w:line="240" w:lineRule="auto"/>
              <w:ind w:firstLine="567"/>
              <w:jc w:val="center"/>
              <w:textAlignment w:val="auto"/>
              <w:rPr>
                <w:rFonts w:ascii="Times New Roman" w:eastAsia="Times New Roman" w:hAnsi="Times New Roman"/>
                <w:b/>
                <w:bCs/>
                <w:sz w:val="24"/>
                <w:szCs w:val="24"/>
                <w:lang w:val="ro-MD" w:eastAsia="ro-RO"/>
              </w:rPr>
            </w:pPr>
            <w:r w:rsidRPr="00656059">
              <w:rPr>
                <w:rFonts w:ascii="Times New Roman" w:eastAsia="Times New Roman" w:hAnsi="Times New Roman"/>
                <w:b/>
                <w:bCs/>
                <w:sz w:val="24"/>
                <w:szCs w:val="24"/>
                <w:lang w:val="ro-MD" w:eastAsia="ro-RO"/>
              </w:rPr>
              <w:t>Misiunii Diplomatice a Republicii Moldova</w:t>
            </w:r>
          </w:p>
          <w:p w:rsidR="003A07AB" w:rsidRPr="00656059" w:rsidRDefault="003A07AB" w:rsidP="00D85A8B">
            <w:pPr>
              <w:suppressAutoHyphens w:val="0"/>
              <w:spacing w:after="0" w:line="240" w:lineRule="auto"/>
              <w:ind w:firstLine="567"/>
              <w:jc w:val="center"/>
              <w:textAlignment w:val="auto"/>
              <w:rPr>
                <w:rFonts w:ascii="Times New Roman" w:eastAsia="Times New Roman" w:hAnsi="Times New Roman"/>
                <w:b/>
                <w:bCs/>
                <w:sz w:val="24"/>
                <w:szCs w:val="24"/>
                <w:lang w:val="ro-MD" w:eastAsia="ro-RO"/>
              </w:rPr>
            </w:pPr>
            <w:r w:rsidRPr="00656059">
              <w:rPr>
                <w:rFonts w:ascii="Times New Roman" w:eastAsia="Times New Roman" w:hAnsi="Times New Roman"/>
                <w:b/>
                <w:bCs/>
                <w:sz w:val="24"/>
                <w:szCs w:val="24"/>
                <w:lang w:val="ro-MD" w:eastAsia="ro-RO"/>
              </w:rPr>
              <w:t>pe lîngă Uniunea Europeană</w:t>
            </w:r>
          </w:p>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 </w:t>
            </w:r>
          </w:p>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p>
        </w:tc>
      </w:tr>
      <w:tr w:rsidR="003A07AB" w:rsidRPr="00656059" w:rsidTr="00D85A8B">
        <w:trPr>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b/>
                <w:bCs/>
                <w:sz w:val="24"/>
                <w:szCs w:val="24"/>
                <w:lang w:val="ro-MD" w:eastAsia="ro-RO"/>
              </w:rPr>
            </w:pPr>
            <w:r w:rsidRPr="00656059">
              <w:rPr>
                <w:rFonts w:ascii="Times New Roman" w:eastAsia="Times New Roman" w:hAnsi="Times New Roman"/>
                <w:b/>
                <w:bCs/>
                <w:sz w:val="24"/>
                <w:szCs w:val="24"/>
                <w:lang w:val="ro-MD" w:eastAsia="ro-RO"/>
              </w:rPr>
              <w:t>Funcţia</w:t>
            </w:r>
          </w:p>
        </w:tc>
        <w:tc>
          <w:tcPr>
            <w:tcW w:w="12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jc w:val="center"/>
              <w:textAlignment w:val="auto"/>
              <w:rPr>
                <w:rFonts w:ascii="Times New Roman" w:eastAsia="Times New Roman" w:hAnsi="Times New Roman"/>
                <w:b/>
                <w:bCs/>
                <w:sz w:val="24"/>
                <w:szCs w:val="24"/>
                <w:lang w:val="ro-MD" w:eastAsia="ro-RO"/>
              </w:rPr>
            </w:pPr>
            <w:r w:rsidRPr="00656059">
              <w:rPr>
                <w:rFonts w:ascii="Times New Roman" w:eastAsia="Times New Roman" w:hAnsi="Times New Roman"/>
                <w:b/>
                <w:bCs/>
                <w:sz w:val="24"/>
                <w:szCs w:val="24"/>
                <w:lang w:val="ro-MD" w:eastAsia="ro-RO"/>
              </w:rPr>
              <w:t>Procentul din</w:t>
            </w:r>
            <w:r w:rsidRPr="00656059">
              <w:rPr>
                <w:rFonts w:ascii="Times New Roman" w:eastAsia="Times New Roman" w:hAnsi="Times New Roman"/>
                <w:b/>
                <w:bCs/>
                <w:sz w:val="24"/>
                <w:szCs w:val="24"/>
                <w:lang w:val="ro-MD" w:eastAsia="ro-RO"/>
              </w:rPr>
              <w:br/>
              <w:t xml:space="preserve">indemnizaţia şefului </w:t>
            </w:r>
            <w:r w:rsidRPr="00656059">
              <w:rPr>
                <w:rFonts w:ascii="Times New Roman" w:eastAsia="Times New Roman" w:hAnsi="Times New Roman"/>
                <w:b/>
                <w:bCs/>
                <w:sz w:val="24"/>
                <w:szCs w:val="24"/>
                <w:lang w:val="ro-MD" w:eastAsia="ro-RO"/>
              </w:rPr>
              <w:br/>
              <w:t>misiunii diplomatice</w:t>
            </w:r>
          </w:p>
        </w:tc>
        <w:tc>
          <w:tcPr>
            <w:tcW w:w="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jc w:val="center"/>
              <w:textAlignment w:val="auto"/>
              <w:rPr>
                <w:rFonts w:ascii="Times New Roman" w:eastAsia="Times New Roman" w:hAnsi="Times New Roman"/>
                <w:b/>
                <w:bCs/>
                <w:sz w:val="24"/>
                <w:szCs w:val="24"/>
                <w:lang w:val="ro-MD" w:eastAsia="ro-RO"/>
              </w:rPr>
            </w:pPr>
            <w:r w:rsidRPr="00656059">
              <w:rPr>
                <w:rFonts w:ascii="Times New Roman" w:eastAsia="Times New Roman" w:hAnsi="Times New Roman"/>
                <w:b/>
                <w:bCs/>
                <w:sz w:val="24"/>
                <w:szCs w:val="24"/>
                <w:lang w:val="ro-MD" w:eastAsia="ro-RO"/>
              </w:rPr>
              <w:t>Unităţi</w:t>
            </w:r>
          </w:p>
        </w:tc>
        <w:tc>
          <w:tcPr>
            <w:tcW w:w="6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Default="003A07AB" w:rsidP="00D85A8B">
            <w:pPr>
              <w:suppressAutoHyphens w:val="0"/>
              <w:spacing w:after="0" w:line="240" w:lineRule="auto"/>
              <w:jc w:val="center"/>
              <w:textAlignment w:val="auto"/>
              <w:rPr>
                <w:rFonts w:ascii="Times New Roman" w:eastAsia="Times New Roman" w:hAnsi="Times New Roman"/>
                <w:b/>
                <w:bCs/>
                <w:sz w:val="24"/>
                <w:szCs w:val="24"/>
                <w:lang w:val="ro-MD" w:eastAsia="ro-RO"/>
              </w:rPr>
            </w:pPr>
            <w:r w:rsidRPr="00656059">
              <w:rPr>
                <w:rFonts w:ascii="Times New Roman" w:eastAsia="Times New Roman" w:hAnsi="Times New Roman"/>
                <w:b/>
                <w:bCs/>
                <w:sz w:val="24"/>
                <w:szCs w:val="24"/>
                <w:lang w:val="ro-MD" w:eastAsia="ro-RO"/>
              </w:rPr>
              <w:t>Indemnizaţia de</w:t>
            </w:r>
            <w:r w:rsidRPr="00656059">
              <w:rPr>
                <w:rFonts w:ascii="Times New Roman" w:eastAsia="Times New Roman" w:hAnsi="Times New Roman"/>
                <w:b/>
                <w:bCs/>
                <w:sz w:val="24"/>
                <w:szCs w:val="24"/>
                <w:lang w:val="ro-MD" w:eastAsia="ro-RO"/>
              </w:rPr>
              <w:br/>
              <w:t xml:space="preserve">funcţie </w:t>
            </w:r>
          </w:p>
          <w:p w:rsidR="003A07AB" w:rsidRPr="00656059" w:rsidRDefault="003A07AB" w:rsidP="00D85A8B">
            <w:pPr>
              <w:suppressAutoHyphens w:val="0"/>
              <w:spacing w:after="0" w:line="240" w:lineRule="auto"/>
              <w:jc w:val="center"/>
              <w:textAlignment w:val="auto"/>
              <w:rPr>
                <w:rFonts w:ascii="Times New Roman" w:eastAsia="Times New Roman" w:hAnsi="Times New Roman"/>
                <w:b/>
                <w:bCs/>
                <w:sz w:val="24"/>
                <w:szCs w:val="24"/>
                <w:lang w:val="ro-MD" w:eastAsia="ro-RO"/>
              </w:rPr>
            </w:pPr>
            <w:r w:rsidRPr="00656059">
              <w:rPr>
                <w:rFonts w:ascii="Times New Roman" w:eastAsia="Times New Roman" w:hAnsi="Times New Roman"/>
                <w:b/>
                <w:bCs/>
                <w:sz w:val="24"/>
                <w:szCs w:val="24"/>
                <w:lang w:val="ro-MD" w:eastAsia="ro-RO"/>
              </w:rPr>
              <w:t>lunară</w:t>
            </w:r>
            <w:r w:rsidRPr="00656059">
              <w:rPr>
                <w:rFonts w:ascii="Times New Roman" w:eastAsia="Times New Roman" w:hAnsi="Times New Roman"/>
                <w:b/>
                <w:bCs/>
                <w:sz w:val="24"/>
                <w:szCs w:val="24"/>
                <w:lang w:val="ro-MD" w:eastAsia="ro-RO"/>
              </w:rPr>
              <w:br/>
              <w:t>(euro)</w:t>
            </w:r>
          </w:p>
        </w:tc>
      </w:tr>
      <w:tr w:rsidR="003A07AB" w:rsidRPr="00656059" w:rsidTr="00D85A8B">
        <w:trPr>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Ambasador, Şef al Misiunii</w:t>
            </w:r>
          </w:p>
        </w:tc>
        <w:tc>
          <w:tcPr>
            <w:tcW w:w="12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p>
        </w:tc>
        <w:tc>
          <w:tcPr>
            <w:tcW w:w="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6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2000</w:t>
            </w:r>
          </w:p>
        </w:tc>
      </w:tr>
      <w:tr w:rsidR="003A07AB" w:rsidRPr="00656059" w:rsidTr="00D85A8B">
        <w:trPr>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Ministru-consilier</w:t>
            </w:r>
          </w:p>
        </w:tc>
        <w:tc>
          <w:tcPr>
            <w:tcW w:w="12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90</w:t>
            </w:r>
          </w:p>
        </w:tc>
        <w:tc>
          <w:tcPr>
            <w:tcW w:w="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6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1800</w:t>
            </w:r>
          </w:p>
        </w:tc>
      </w:tr>
      <w:tr w:rsidR="003A07AB" w:rsidRPr="00656059" w:rsidTr="00D85A8B">
        <w:trPr>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Consilier</w:t>
            </w:r>
          </w:p>
        </w:tc>
        <w:tc>
          <w:tcPr>
            <w:tcW w:w="12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85</w:t>
            </w:r>
          </w:p>
        </w:tc>
        <w:tc>
          <w:tcPr>
            <w:tcW w:w="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6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1700</w:t>
            </w:r>
          </w:p>
        </w:tc>
      </w:tr>
      <w:tr w:rsidR="003A07AB" w:rsidRPr="00656059" w:rsidTr="00D85A8B">
        <w:trPr>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A07AB" w:rsidRPr="00656059" w:rsidRDefault="003A07AB" w:rsidP="00D85A8B">
            <w:pPr>
              <w:suppressAutoHyphens w:val="0"/>
              <w:spacing w:after="0" w:line="240" w:lineRule="auto"/>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Consilier (atașat vamal)</w:t>
            </w:r>
          </w:p>
        </w:tc>
        <w:tc>
          <w:tcPr>
            <w:tcW w:w="12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85</w:t>
            </w:r>
          </w:p>
        </w:tc>
        <w:tc>
          <w:tcPr>
            <w:tcW w:w="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6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1700</w:t>
            </w:r>
          </w:p>
        </w:tc>
      </w:tr>
      <w:tr w:rsidR="003A07AB" w:rsidRPr="00656059" w:rsidTr="00D85A8B">
        <w:trPr>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Secretar I</w:t>
            </w:r>
          </w:p>
        </w:tc>
        <w:tc>
          <w:tcPr>
            <w:tcW w:w="12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80</w:t>
            </w:r>
          </w:p>
        </w:tc>
        <w:tc>
          <w:tcPr>
            <w:tcW w:w="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2 x 1600</w:t>
            </w:r>
          </w:p>
        </w:tc>
        <w:tc>
          <w:tcPr>
            <w:tcW w:w="6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3200</w:t>
            </w:r>
          </w:p>
        </w:tc>
      </w:tr>
      <w:tr w:rsidR="003A07AB" w:rsidRPr="00656059" w:rsidTr="00D85A8B">
        <w:trPr>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Secretar I (probleme economice)</w:t>
            </w:r>
          </w:p>
        </w:tc>
        <w:tc>
          <w:tcPr>
            <w:tcW w:w="12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80</w:t>
            </w:r>
          </w:p>
        </w:tc>
        <w:tc>
          <w:tcPr>
            <w:tcW w:w="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6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1600</w:t>
            </w:r>
          </w:p>
        </w:tc>
      </w:tr>
      <w:tr w:rsidR="003A07AB" w:rsidRPr="00656059" w:rsidTr="00D85A8B">
        <w:trPr>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Secretar II</w:t>
            </w:r>
          </w:p>
        </w:tc>
        <w:tc>
          <w:tcPr>
            <w:tcW w:w="12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70</w:t>
            </w:r>
          </w:p>
        </w:tc>
        <w:tc>
          <w:tcPr>
            <w:tcW w:w="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6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1400</w:t>
            </w:r>
          </w:p>
        </w:tc>
      </w:tr>
      <w:tr w:rsidR="003A07AB" w:rsidRPr="00656059" w:rsidTr="00D85A8B">
        <w:trPr>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b/>
                <w:bCs/>
                <w:sz w:val="24"/>
                <w:szCs w:val="24"/>
                <w:lang w:val="ro-MD" w:eastAsia="ro-RO"/>
              </w:rPr>
              <w:t>Total:</w:t>
            </w:r>
          </w:p>
        </w:tc>
        <w:tc>
          <w:tcPr>
            <w:tcW w:w="12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p>
        </w:tc>
        <w:tc>
          <w:tcPr>
            <w:tcW w:w="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b/>
                <w:bCs/>
                <w:sz w:val="24"/>
                <w:szCs w:val="24"/>
                <w:lang w:val="ro-MD" w:eastAsia="ro-RO"/>
              </w:rPr>
              <w:t>7</w:t>
            </w:r>
          </w:p>
        </w:tc>
        <w:tc>
          <w:tcPr>
            <w:tcW w:w="6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b/>
                <w:bCs/>
                <w:sz w:val="24"/>
                <w:szCs w:val="24"/>
                <w:lang w:val="ro-MD" w:eastAsia="ro-RO"/>
              </w:rPr>
              <w:t>11700</w:t>
            </w:r>
          </w:p>
        </w:tc>
      </w:tr>
      <w:tr w:rsidR="003A07AB" w:rsidRPr="00656059" w:rsidTr="00D85A8B">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jc w:val="both"/>
              <w:textAlignment w:val="auto"/>
              <w:rPr>
                <w:rFonts w:ascii="Times New Roman" w:eastAsia="Times New Roman" w:hAnsi="Times New Roman"/>
                <w:b/>
                <w:bCs/>
                <w:sz w:val="24"/>
                <w:szCs w:val="24"/>
                <w:lang w:val="ro-MD" w:eastAsia="ro-RO"/>
              </w:rPr>
            </w:pPr>
            <w:r w:rsidRPr="00656059">
              <w:rPr>
                <w:rFonts w:ascii="Times New Roman" w:eastAsia="Times New Roman" w:hAnsi="Times New Roman"/>
                <w:b/>
                <w:bCs/>
                <w:sz w:val="24"/>
                <w:szCs w:val="24"/>
                <w:lang w:val="ro-MD" w:eastAsia="ro-RO"/>
              </w:rPr>
              <w:t>Serviciul administrativ</w:t>
            </w:r>
          </w:p>
        </w:tc>
      </w:tr>
      <w:tr w:rsidR="003A07AB" w:rsidRPr="00656059" w:rsidTr="00D85A8B">
        <w:trPr>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Şef de cancelarie</w:t>
            </w:r>
          </w:p>
        </w:tc>
        <w:tc>
          <w:tcPr>
            <w:tcW w:w="12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55</w:t>
            </w:r>
          </w:p>
        </w:tc>
        <w:tc>
          <w:tcPr>
            <w:tcW w:w="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r>
              <w:rPr>
                <w:rFonts w:ascii="Times New Roman" w:eastAsia="Times New Roman" w:hAnsi="Times New Roman"/>
                <w:sz w:val="24"/>
                <w:szCs w:val="24"/>
                <w:lang w:val="ro-MD" w:eastAsia="ro-RO"/>
              </w:rPr>
              <w:t>*</w:t>
            </w:r>
          </w:p>
        </w:tc>
        <w:tc>
          <w:tcPr>
            <w:tcW w:w="6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1100</w:t>
            </w:r>
          </w:p>
        </w:tc>
      </w:tr>
      <w:tr w:rsidR="003A07AB" w:rsidRPr="00656059" w:rsidTr="00D85A8B">
        <w:trPr>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Administrator, şofer</w:t>
            </w:r>
          </w:p>
        </w:tc>
        <w:tc>
          <w:tcPr>
            <w:tcW w:w="12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55</w:t>
            </w:r>
          </w:p>
        </w:tc>
        <w:tc>
          <w:tcPr>
            <w:tcW w:w="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w:t>
            </w:r>
          </w:p>
        </w:tc>
        <w:tc>
          <w:tcPr>
            <w:tcW w:w="6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1100</w:t>
            </w:r>
          </w:p>
        </w:tc>
      </w:tr>
      <w:tr w:rsidR="003A07AB" w:rsidRPr="00656059" w:rsidTr="00D85A8B">
        <w:trPr>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b/>
                <w:bCs/>
                <w:sz w:val="24"/>
                <w:szCs w:val="24"/>
                <w:lang w:val="ro-MD" w:eastAsia="ro-RO"/>
              </w:rPr>
              <w:t>Total general:</w:t>
            </w:r>
          </w:p>
        </w:tc>
        <w:tc>
          <w:tcPr>
            <w:tcW w:w="12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p>
        </w:tc>
        <w:tc>
          <w:tcPr>
            <w:tcW w:w="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b/>
                <w:bCs/>
                <w:sz w:val="24"/>
                <w:szCs w:val="24"/>
                <w:lang w:val="ro-MD" w:eastAsia="ro-RO"/>
              </w:rPr>
              <w:t>9</w:t>
            </w:r>
          </w:p>
        </w:tc>
        <w:tc>
          <w:tcPr>
            <w:tcW w:w="6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b/>
                <w:bCs/>
                <w:sz w:val="24"/>
                <w:szCs w:val="24"/>
                <w:lang w:val="ro-MD" w:eastAsia="ro-RO"/>
              </w:rPr>
              <w:t>14000</w:t>
            </w:r>
          </w:p>
        </w:tc>
      </w:tr>
      <w:tr w:rsidR="003A07AB" w:rsidRPr="00656059" w:rsidTr="00D85A8B">
        <w:trPr>
          <w:jc w:val="center"/>
        </w:trPr>
        <w:tc>
          <w:tcPr>
            <w:tcW w:w="5000" w:type="pct"/>
            <w:gridSpan w:val="4"/>
            <w:tcBorders>
              <w:top w:val="nil"/>
              <w:left w:val="nil"/>
              <w:bottom w:val="nil"/>
              <w:right w:val="nil"/>
            </w:tcBorders>
            <w:tcMar>
              <w:top w:w="15" w:type="dxa"/>
              <w:left w:w="45" w:type="dxa"/>
              <w:bottom w:w="15" w:type="dxa"/>
              <w:right w:w="45" w:type="dxa"/>
            </w:tcMar>
            <w:hideMark/>
          </w:tcPr>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 xml:space="preserve">  </w:t>
            </w:r>
          </w:p>
          <w:p w:rsidR="003A07AB" w:rsidRPr="00656059" w:rsidRDefault="003A07AB" w:rsidP="00D85A8B">
            <w:pPr>
              <w:suppressAutoHyphens w:val="0"/>
              <w:spacing w:after="0" w:line="240" w:lineRule="auto"/>
              <w:ind w:firstLine="567"/>
              <w:jc w:val="both"/>
              <w:textAlignment w:val="auto"/>
              <w:rPr>
                <w:rFonts w:ascii="Times New Roman" w:eastAsia="Times New Roman" w:hAnsi="Times New Roman"/>
                <w:sz w:val="24"/>
                <w:szCs w:val="24"/>
                <w:lang w:val="ro-MD" w:eastAsia="ro-RO"/>
              </w:rPr>
            </w:pPr>
            <w:r w:rsidRPr="00656059">
              <w:rPr>
                <w:rFonts w:ascii="Times New Roman" w:eastAsia="Times New Roman" w:hAnsi="Times New Roman"/>
                <w:sz w:val="24"/>
                <w:szCs w:val="24"/>
                <w:lang w:val="ro-MD" w:eastAsia="ro-RO"/>
              </w:rPr>
              <w:t>* Unitatea de consilier (ataşat vamal) este suplinită de reprezentantul oficial al Serviciului Vamal al Republicii Moldova, care se confirmă prin ordinul ministrului afacerilor externe şi integrării europene al Republicii Moldova. Cheltuielile pentru întreținerea unității se vor efectua din sursele Serviciului Vamal.</w:t>
            </w:r>
          </w:p>
        </w:tc>
      </w:tr>
    </w:tbl>
    <w:p w:rsidR="003A07AB" w:rsidRPr="00656059" w:rsidRDefault="003A07AB" w:rsidP="003A07AB">
      <w:pPr>
        <w:suppressAutoHyphens w:val="0"/>
        <w:spacing w:after="0" w:line="240" w:lineRule="auto"/>
        <w:jc w:val="both"/>
        <w:textAlignment w:val="auto"/>
        <w:rPr>
          <w:rFonts w:ascii="Times New Roman" w:eastAsia="Times New Roman" w:hAnsi="Times New Roman"/>
          <w:sz w:val="24"/>
          <w:szCs w:val="24"/>
          <w:lang w:val="ro-MD" w:eastAsia="ro-RO"/>
        </w:rPr>
      </w:pPr>
      <w:bookmarkStart w:id="0" w:name="_GoBack"/>
      <w:bookmarkEnd w:id="0"/>
      <w:r w:rsidRPr="00656059">
        <w:rPr>
          <w:rFonts w:ascii="Times New Roman" w:eastAsia="Times New Roman" w:hAnsi="Times New Roman"/>
          <w:sz w:val="24"/>
          <w:szCs w:val="24"/>
          <w:lang w:val="ro-MD" w:eastAsia="ro-RO"/>
        </w:rPr>
        <w:t>** Şeful de cancelarie va asigura ţinerea lucrărilor de secretariat şi pentru Ambasada Republicii Moldova în Regatul Belgiei.</w:t>
      </w:r>
      <w:r>
        <w:rPr>
          <w:rFonts w:ascii="Times New Roman" w:eastAsia="Times New Roman" w:hAnsi="Times New Roman"/>
          <w:sz w:val="24"/>
          <w:szCs w:val="24"/>
          <w:lang w:val="ro-MD" w:eastAsia="ro-RO"/>
        </w:rPr>
        <w:t>”</w:t>
      </w:r>
    </w:p>
    <w:p w:rsidR="00B35D89" w:rsidRPr="003A07AB" w:rsidRDefault="00B35D89">
      <w:pPr>
        <w:rPr>
          <w:lang w:val="ro-MD"/>
        </w:rPr>
      </w:pPr>
    </w:p>
    <w:sectPr w:rsidR="00B35D89" w:rsidRPr="003A07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AB"/>
    <w:rsid w:val="003A07AB"/>
    <w:rsid w:val="00B35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0337F-0647-4221-8A6E-D0876664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A07AB"/>
    <w:pPr>
      <w:suppressAutoHyphens/>
      <w:autoSpaceDN w:val="0"/>
      <w:spacing w:after="200" w:line="276" w:lineRule="auto"/>
      <w:textAlignment w:val="baseline"/>
    </w:pPr>
    <w:rPr>
      <w:rFonts w:ascii="Calibri" w:eastAsia="Calibri"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deparagrafimplicit1">
    <w:name w:val="Font de paragraf implicit1"/>
    <w:rsid w:val="003A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GS. Samson</dc:creator>
  <cp:keywords/>
  <dc:description/>
  <cp:lastModifiedBy>Gheorghe GS. Samson</cp:lastModifiedBy>
  <cp:revision>1</cp:revision>
  <dcterms:created xsi:type="dcterms:W3CDTF">2015-09-07T05:41:00Z</dcterms:created>
  <dcterms:modified xsi:type="dcterms:W3CDTF">2015-09-07T05:42:00Z</dcterms:modified>
</cp:coreProperties>
</file>